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E76D" w14:textId="77777777" w:rsidR="009C3BD5" w:rsidRPr="009C3BD5" w:rsidRDefault="009C3BD5" w:rsidP="00E65076">
      <w:pPr>
        <w:spacing w:after="120" w:line="240" w:lineRule="auto"/>
        <w:jc w:val="center"/>
        <w:outlineLvl w:val="0"/>
        <w:rPr>
          <w:rFonts w:eastAsia="Times New Roman" w:cs="Times New Roman"/>
          <w:b/>
          <w:bCs/>
          <w:color w:val="auto"/>
          <w:spacing w:val="-18"/>
          <w:kern w:val="36"/>
          <w:szCs w:val="20"/>
          <w:lang w:eastAsia="it-IT"/>
        </w:rPr>
      </w:pPr>
      <w:r w:rsidRPr="009C3BD5">
        <w:rPr>
          <w:rFonts w:eastAsia="Times New Roman" w:cs="Times New Roman"/>
          <w:b/>
          <w:bCs/>
          <w:color w:val="auto"/>
          <w:spacing w:val="-18"/>
          <w:kern w:val="36"/>
          <w:szCs w:val="20"/>
          <w:lang w:eastAsia="it-IT"/>
        </w:rPr>
        <w:t>Whistleblower – segnalazione illeciti</w:t>
      </w:r>
    </w:p>
    <w:p w14:paraId="2E7BE850" w14:textId="77777777" w:rsidR="009C3BD5" w:rsidRPr="009C3BD5" w:rsidRDefault="009C3BD5" w:rsidP="009C3BD5">
      <w:pPr>
        <w:shd w:val="clear" w:color="auto" w:fill="FFFFFF"/>
        <w:spacing w:after="120" w:line="240" w:lineRule="auto"/>
        <w:jc w:val="center"/>
        <w:outlineLvl w:val="2"/>
        <w:rPr>
          <w:rFonts w:eastAsia="Times New Roman" w:cs="Times New Roman"/>
          <w:b/>
          <w:bCs/>
          <w:szCs w:val="20"/>
          <w:lang w:eastAsia="it-IT"/>
        </w:rPr>
      </w:pPr>
      <w:r w:rsidRPr="009C3BD5">
        <w:rPr>
          <w:rFonts w:eastAsia="Times New Roman" w:cs="Times New Roman"/>
          <w:b/>
          <w:bCs/>
          <w:szCs w:val="20"/>
          <w:lang w:eastAsia="it-IT"/>
        </w:rPr>
        <w:t>Procedure e modalità per le segnalazioni di illecito.</w:t>
      </w:r>
    </w:p>
    <w:p w14:paraId="628C02E0" w14:textId="77777777" w:rsidR="009C3BD5" w:rsidRPr="009C3BD5" w:rsidRDefault="009C3BD5" w:rsidP="009C3BD5">
      <w:pPr>
        <w:shd w:val="clear" w:color="auto" w:fill="FFFFFF"/>
        <w:spacing w:after="100" w:afterAutospacing="1" w:line="240" w:lineRule="auto"/>
        <w:rPr>
          <w:rFonts w:eastAsia="Times New Roman" w:cs="Times New Roman"/>
          <w:szCs w:val="20"/>
          <w:lang w:eastAsia="it-IT"/>
        </w:rPr>
      </w:pPr>
      <w:r w:rsidRPr="009C3BD5">
        <w:rPr>
          <w:rFonts w:eastAsia="Times New Roman" w:cs="Times New Roman"/>
          <w:b/>
          <w:bCs/>
          <w:szCs w:val="20"/>
          <w:lang w:eastAsia="it-IT"/>
        </w:rPr>
        <w:t>Cosa è il whistleblowing?</w:t>
      </w:r>
    </w:p>
    <w:p w14:paraId="305745F5" w14:textId="77777777" w:rsidR="009C3BD5" w:rsidRPr="009C3BD5" w:rsidRDefault="009C3BD5" w:rsidP="009C3BD5">
      <w:pPr>
        <w:shd w:val="clear" w:color="auto" w:fill="FFFFFF"/>
        <w:spacing w:after="100" w:afterAutospacing="1" w:line="240" w:lineRule="auto"/>
        <w:jc w:val="both"/>
        <w:rPr>
          <w:rFonts w:eastAsia="Times New Roman" w:cs="Times New Roman"/>
          <w:szCs w:val="20"/>
          <w:lang w:eastAsia="it-IT"/>
        </w:rPr>
      </w:pPr>
      <w:r w:rsidRPr="009C3BD5">
        <w:rPr>
          <w:rFonts w:eastAsia="Times New Roman" w:cs="Times New Roman"/>
          <w:szCs w:val="20"/>
          <w:lang w:eastAsia="it-IT"/>
        </w:rPr>
        <w:t>È una misura per la prevenzione della corruzione nella Pubblica Amministrazione, di cui all’articolo 54-bis del </w:t>
      </w:r>
      <w:hyperlink r:id="rId6" w:history="1">
        <w:r w:rsidRPr="009C3BD5">
          <w:rPr>
            <w:rFonts w:eastAsia="Times New Roman" w:cs="Times New Roman"/>
            <w:color w:val="0066CC"/>
            <w:szCs w:val="20"/>
            <w:u w:val="single"/>
            <w:lang w:eastAsia="it-IT"/>
          </w:rPr>
          <w:t>Decreto Legislativo 30 marzo 2001 n. 165</w:t>
        </w:r>
      </w:hyperlink>
      <w:r w:rsidRPr="009C3BD5">
        <w:rPr>
          <w:rFonts w:eastAsia="Times New Roman" w:cs="Times New Roman"/>
          <w:szCs w:val="20"/>
          <w:lang w:eastAsia="it-IT"/>
        </w:rPr>
        <w:t xml:space="preserve">, menzionata nel Piano Nazionale Anticorruzione e ripresa </w:t>
      </w:r>
      <w:hyperlink r:id="rId7" w:history="1">
        <w:r w:rsidRPr="009C3BD5">
          <w:rPr>
            <w:rStyle w:val="Collegamentoipertestuale"/>
            <w:rFonts w:eastAsia="Times New Roman" w:cs="Times New Roman"/>
            <w:szCs w:val="20"/>
            <w:lang w:eastAsia="it-IT"/>
          </w:rPr>
          <w:t xml:space="preserve">dal Piano Triennale per la Prevenzione della Corruzione della </w:t>
        </w:r>
        <w:r w:rsidRPr="00CB017E">
          <w:rPr>
            <w:rStyle w:val="Collegamentoipertestuale"/>
            <w:rFonts w:eastAsia="Times New Roman" w:cs="Times New Roman"/>
            <w:szCs w:val="20"/>
            <w:lang w:eastAsia="it-IT"/>
          </w:rPr>
          <w:t>Toscana</w:t>
        </w:r>
      </w:hyperlink>
      <w:r w:rsidRPr="009C3BD5">
        <w:rPr>
          <w:rFonts w:eastAsia="Times New Roman" w:cs="Times New Roman"/>
          <w:szCs w:val="20"/>
          <w:lang w:eastAsia="it-IT"/>
        </w:rPr>
        <w:t> (punto 5.5.)</w:t>
      </w:r>
    </w:p>
    <w:p w14:paraId="1F23A824" w14:textId="77777777" w:rsidR="009C3BD5" w:rsidRPr="009C3BD5" w:rsidRDefault="009C3BD5" w:rsidP="009C3BD5">
      <w:pPr>
        <w:shd w:val="clear" w:color="auto" w:fill="FFFFFF"/>
        <w:spacing w:after="100" w:afterAutospacing="1" w:line="240" w:lineRule="auto"/>
        <w:rPr>
          <w:rFonts w:eastAsia="Times New Roman" w:cs="Times New Roman"/>
          <w:szCs w:val="20"/>
          <w:lang w:eastAsia="it-IT"/>
        </w:rPr>
      </w:pPr>
      <w:r w:rsidRPr="009C3BD5">
        <w:rPr>
          <w:rFonts w:eastAsia="Times New Roman" w:cs="Times New Roman"/>
          <w:b/>
          <w:bCs/>
          <w:szCs w:val="20"/>
          <w:lang w:eastAsia="it-IT"/>
        </w:rPr>
        <w:t>Si applica anche al mondo scolastico?</w:t>
      </w:r>
    </w:p>
    <w:p w14:paraId="35F62247" w14:textId="77777777" w:rsidR="009C3BD5" w:rsidRPr="009C3BD5" w:rsidRDefault="009C3BD5" w:rsidP="009C3BD5">
      <w:pPr>
        <w:shd w:val="clear" w:color="auto" w:fill="FFFFFF"/>
        <w:spacing w:after="100" w:afterAutospacing="1" w:line="240" w:lineRule="auto"/>
        <w:jc w:val="both"/>
        <w:rPr>
          <w:rFonts w:eastAsia="Times New Roman" w:cs="Times New Roman"/>
          <w:szCs w:val="20"/>
          <w:lang w:eastAsia="it-IT"/>
        </w:rPr>
      </w:pPr>
      <w:r w:rsidRPr="009C3BD5">
        <w:rPr>
          <w:rFonts w:eastAsia="Times New Roman" w:cs="Times New Roman"/>
          <w:szCs w:val="20"/>
          <w:lang w:eastAsia="it-IT"/>
        </w:rPr>
        <w:t>Sì. Con la </w:t>
      </w:r>
      <w:hyperlink r:id="rId8" w:history="1">
        <w:r w:rsidRPr="009C3BD5">
          <w:rPr>
            <w:rFonts w:eastAsia="Times New Roman" w:cs="Times New Roman"/>
            <w:color w:val="0066CC"/>
            <w:szCs w:val="20"/>
            <w:u w:val="single"/>
            <w:lang w:eastAsia="it-IT"/>
          </w:rPr>
          <w:t>Delibera n. 831 del 3 agosto 2016</w:t>
        </w:r>
      </w:hyperlink>
      <w:r w:rsidRPr="009C3BD5">
        <w:rPr>
          <w:rFonts w:eastAsia="Times New Roman" w:cs="Times New Roman"/>
          <w:szCs w:val="20"/>
          <w:lang w:eastAsia="it-IT"/>
        </w:rPr>
        <w:t>, l’Autorità Nazionale Anticorruzione (ANAC) ha individuato nel Direttore Generale dell’Ufficio scolastico regionale il Responsabile della prevenzione della corruzione per le istituzioni scolastiche, cui vanno inviate le segnalazioni di fatti che configurano ipotesi di corruzione, limitatamente alle scuole.</w:t>
      </w:r>
    </w:p>
    <w:p w14:paraId="3E8DD649" w14:textId="77777777" w:rsidR="009C3BD5" w:rsidRPr="009C3BD5" w:rsidRDefault="009C3BD5" w:rsidP="009C3BD5">
      <w:pPr>
        <w:shd w:val="clear" w:color="auto" w:fill="FFFFFF"/>
        <w:spacing w:after="100" w:afterAutospacing="1" w:line="240" w:lineRule="auto"/>
        <w:rPr>
          <w:rFonts w:eastAsia="Times New Roman" w:cs="Times New Roman"/>
          <w:szCs w:val="20"/>
          <w:lang w:eastAsia="it-IT"/>
        </w:rPr>
      </w:pPr>
      <w:r w:rsidRPr="009C3BD5">
        <w:rPr>
          <w:rFonts w:eastAsia="Times New Roman" w:cs="Times New Roman"/>
          <w:b/>
          <w:bCs/>
          <w:szCs w:val="20"/>
          <w:lang w:eastAsia="it-IT"/>
        </w:rPr>
        <w:t>Come funziona?</w:t>
      </w:r>
    </w:p>
    <w:p w14:paraId="626275D9" w14:textId="77777777" w:rsidR="009C3BD5" w:rsidRPr="009C3BD5" w:rsidRDefault="009C3BD5" w:rsidP="009C3BD5">
      <w:pPr>
        <w:shd w:val="clear" w:color="auto" w:fill="FFFFFF"/>
        <w:spacing w:after="100" w:afterAutospacing="1" w:line="240" w:lineRule="auto"/>
        <w:jc w:val="both"/>
        <w:rPr>
          <w:rFonts w:eastAsia="Times New Roman" w:cs="Times New Roman"/>
          <w:szCs w:val="20"/>
          <w:lang w:eastAsia="it-IT"/>
        </w:rPr>
      </w:pPr>
      <w:r w:rsidRPr="009C3BD5">
        <w:rPr>
          <w:rFonts w:eastAsia="Times New Roman" w:cs="Times New Roman"/>
          <w:szCs w:val="20"/>
          <w:lang w:eastAsia="it-IT"/>
        </w:rPr>
        <w:t>Docenti, personale ATA, Dirigenti scolastici o altri pubblici dipendenti che abbiano assistito a illeciti o ne siano venuti a conoscenza in relazione allo svolgimento della propria attività lavorativa possono inviare la segnalazione, </w:t>
      </w:r>
      <w:r w:rsidRPr="009C3BD5">
        <w:rPr>
          <w:rFonts w:eastAsia="Times New Roman" w:cs="Times New Roman"/>
          <w:b/>
          <w:bCs/>
          <w:szCs w:val="20"/>
          <w:lang w:eastAsia="it-IT"/>
        </w:rPr>
        <w:t>usando il seguente, </w:t>
      </w:r>
      <w:hyperlink r:id="rId9" w:history="1">
        <w:r w:rsidRPr="009C3BD5">
          <w:rPr>
            <w:rFonts w:eastAsia="Times New Roman" w:cs="Times New Roman"/>
            <w:color w:val="0066CC"/>
            <w:szCs w:val="20"/>
            <w:u w:val="single"/>
            <w:lang w:eastAsia="it-IT"/>
          </w:rPr>
          <w:t>modulo</w:t>
        </w:r>
      </w:hyperlink>
      <w:r w:rsidRPr="009C3BD5">
        <w:rPr>
          <w:rFonts w:eastAsia="Times New Roman" w:cs="Times New Roman"/>
          <w:b/>
          <w:bCs/>
          <w:szCs w:val="20"/>
          <w:lang w:eastAsia="it-IT"/>
        </w:rPr>
        <w:t> (formato Word) </w:t>
      </w:r>
      <w:hyperlink r:id="rId10" w:history="1">
        <w:r w:rsidRPr="009C3BD5">
          <w:rPr>
            <w:rFonts w:eastAsia="Times New Roman" w:cs="Times New Roman"/>
            <w:b/>
            <w:bCs/>
            <w:color w:val="0066CC"/>
            <w:szCs w:val="20"/>
            <w:u w:val="single"/>
            <w:lang w:eastAsia="it-IT"/>
          </w:rPr>
          <w:t>modulo</w:t>
        </w:r>
      </w:hyperlink>
      <w:r w:rsidRPr="009C3BD5">
        <w:rPr>
          <w:rFonts w:eastAsia="Times New Roman" w:cs="Times New Roman"/>
          <w:b/>
          <w:bCs/>
          <w:szCs w:val="20"/>
          <w:lang w:eastAsia="it-IT"/>
        </w:rPr>
        <w:t>  (formato Pdf) </w:t>
      </w:r>
      <w:r w:rsidRPr="009C3BD5">
        <w:rPr>
          <w:rFonts w:eastAsia="Times New Roman" w:cs="Times New Roman"/>
          <w:szCs w:val="20"/>
          <w:lang w:eastAsia="it-IT"/>
        </w:rPr>
        <w:t>scrivendo:</w:t>
      </w:r>
    </w:p>
    <w:p w14:paraId="76500309" w14:textId="77777777" w:rsidR="009C3BD5" w:rsidRPr="009C3BD5" w:rsidRDefault="009C3BD5" w:rsidP="009C3BD5">
      <w:pPr>
        <w:numPr>
          <w:ilvl w:val="0"/>
          <w:numId w:val="1"/>
        </w:numPr>
        <w:shd w:val="clear" w:color="auto" w:fill="FFFFFF"/>
        <w:spacing w:before="100" w:beforeAutospacing="1" w:after="100" w:afterAutospacing="1" w:line="240" w:lineRule="auto"/>
        <w:jc w:val="both"/>
        <w:rPr>
          <w:rFonts w:eastAsia="Times New Roman" w:cs="Times New Roman"/>
          <w:szCs w:val="20"/>
          <w:lang w:eastAsia="it-IT"/>
        </w:rPr>
      </w:pPr>
      <w:r w:rsidRPr="009C3BD5">
        <w:rPr>
          <w:rFonts w:eastAsia="Times New Roman" w:cs="Times New Roman"/>
          <w:szCs w:val="20"/>
          <w:lang w:eastAsia="it-IT"/>
        </w:rPr>
        <w:t>alla casella di posta: </w:t>
      </w:r>
      <w:hyperlink r:id="rId11" w:history="1">
        <w:r w:rsidRPr="009C3BD5">
          <w:rPr>
            <w:rFonts w:eastAsia="Times New Roman" w:cs="Times New Roman"/>
            <w:color w:val="0066CC"/>
            <w:szCs w:val="20"/>
            <w:u w:val="single"/>
            <w:lang w:eastAsia="it-IT"/>
          </w:rPr>
          <w:t>drlo.prevenzionecorruzione@istruzione.it</w:t>
        </w:r>
      </w:hyperlink>
    </w:p>
    <w:p w14:paraId="76915E1D" w14:textId="77777777" w:rsidR="009C3BD5" w:rsidRPr="009C3BD5" w:rsidRDefault="009C3BD5" w:rsidP="009C3BD5">
      <w:pPr>
        <w:numPr>
          <w:ilvl w:val="0"/>
          <w:numId w:val="1"/>
        </w:numPr>
        <w:shd w:val="clear" w:color="auto" w:fill="FFFFFF"/>
        <w:spacing w:before="100" w:beforeAutospacing="1" w:after="100" w:afterAutospacing="1" w:line="240" w:lineRule="auto"/>
        <w:jc w:val="both"/>
        <w:rPr>
          <w:rFonts w:eastAsia="Times New Roman" w:cs="Times New Roman"/>
          <w:szCs w:val="20"/>
          <w:lang w:eastAsia="it-IT"/>
        </w:rPr>
      </w:pPr>
      <w:r w:rsidRPr="009C3BD5">
        <w:rPr>
          <w:rFonts w:eastAsia="Times New Roman" w:cs="Times New Roman"/>
          <w:szCs w:val="20"/>
          <w:lang w:eastAsia="it-IT"/>
        </w:rPr>
        <w:t>al Responsabile della prevenzione della corruzione, tramite il servizio postale. In questo caso Nel caso in cui la segnalazione avvenga tramite servizio postale, per poter usufruire della garanzia della riservatezza è necessario che la segnalazione venga inserita in doppia busta chiusa e che rechi all’esterno la dicitura “riservata/personale”.</w:t>
      </w:r>
    </w:p>
    <w:p w14:paraId="41D46377" w14:textId="77777777" w:rsidR="009C3BD5" w:rsidRPr="009C3BD5" w:rsidRDefault="009C3BD5" w:rsidP="009C3BD5">
      <w:pPr>
        <w:shd w:val="clear" w:color="auto" w:fill="FFFFFF"/>
        <w:spacing w:after="100" w:afterAutospacing="1" w:line="240" w:lineRule="auto"/>
        <w:jc w:val="both"/>
        <w:rPr>
          <w:rFonts w:eastAsia="Times New Roman" w:cs="Times New Roman"/>
          <w:szCs w:val="20"/>
          <w:lang w:eastAsia="it-IT"/>
        </w:rPr>
      </w:pPr>
      <w:r w:rsidRPr="009C3BD5">
        <w:rPr>
          <w:rFonts w:eastAsia="Times New Roman" w:cs="Times New Roman"/>
          <w:szCs w:val="20"/>
          <w:lang w:eastAsia="it-IT"/>
        </w:rPr>
        <w:t>In ogni caso è garantita, da parte dell’Amministrazione ricevente, la riservatezza dell’identità del segnalante, fatti salvi i casi in cui non è opponibile per legge.</w:t>
      </w:r>
    </w:p>
    <w:p w14:paraId="0BF8997C" w14:textId="77777777" w:rsidR="009C3BD5" w:rsidRPr="009C3BD5" w:rsidRDefault="009C3BD5" w:rsidP="009C3BD5">
      <w:pPr>
        <w:shd w:val="clear" w:color="auto" w:fill="FFFFFF"/>
        <w:spacing w:after="100" w:afterAutospacing="1" w:line="240" w:lineRule="auto"/>
        <w:jc w:val="both"/>
        <w:rPr>
          <w:rFonts w:eastAsia="Times New Roman" w:cs="Times New Roman"/>
          <w:szCs w:val="20"/>
          <w:lang w:eastAsia="it-IT"/>
        </w:rPr>
      </w:pPr>
      <w:r w:rsidRPr="009C3BD5">
        <w:rPr>
          <w:rFonts w:eastAsia="Times New Roman" w:cs="Times New Roman"/>
          <w:b/>
          <w:bCs/>
          <w:szCs w:val="20"/>
          <w:lang w:eastAsia="it-IT"/>
        </w:rPr>
        <w:t>Cosa non rientra nel whistleblower?</w:t>
      </w:r>
    </w:p>
    <w:p w14:paraId="5B24E7F0" w14:textId="77777777" w:rsidR="009C3BD5" w:rsidRPr="009C3BD5" w:rsidRDefault="009C3BD5" w:rsidP="009C3BD5">
      <w:pPr>
        <w:shd w:val="clear" w:color="auto" w:fill="FFFFFF"/>
        <w:spacing w:after="100" w:afterAutospacing="1" w:line="240" w:lineRule="auto"/>
        <w:jc w:val="both"/>
        <w:rPr>
          <w:rFonts w:eastAsia="Times New Roman" w:cs="Times New Roman"/>
          <w:szCs w:val="20"/>
          <w:lang w:eastAsia="it-IT"/>
        </w:rPr>
      </w:pPr>
      <w:r w:rsidRPr="009C3BD5">
        <w:rPr>
          <w:rFonts w:eastAsia="Times New Roman" w:cs="Times New Roman"/>
          <w:szCs w:val="20"/>
          <w:lang w:eastAsia="it-IT"/>
        </w:rPr>
        <w:t>Fatti e situazioni non conosciuti direttamente, ma riferiti da terzi.</w:t>
      </w:r>
    </w:p>
    <w:p w14:paraId="31E2BD60" w14:textId="77777777" w:rsidR="009C3BD5" w:rsidRPr="009C3BD5" w:rsidRDefault="009C3BD5" w:rsidP="009C3BD5">
      <w:pPr>
        <w:shd w:val="clear" w:color="auto" w:fill="FFFFFF"/>
        <w:spacing w:after="100" w:afterAutospacing="1" w:line="240" w:lineRule="auto"/>
        <w:jc w:val="both"/>
        <w:rPr>
          <w:rFonts w:eastAsia="Times New Roman" w:cs="Times New Roman"/>
          <w:szCs w:val="20"/>
          <w:lang w:eastAsia="it-IT"/>
        </w:rPr>
      </w:pPr>
      <w:r w:rsidRPr="009C3BD5">
        <w:rPr>
          <w:rFonts w:eastAsia="Times New Roman" w:cs="Times New Roman"/>
          <w:szCs w:val="20"/>
          <w:lang w:eastAsia="it-IT"/>
        </w:rPr>
        <w:t>Segnalazioni di rilevanza penale, già all’attenzione dell’Autorità giudiziaria.</w:t>
      </w:r>
    </w:p>
    <w:p w14:paraId="6287E7E3" w14:textId="77777777" w:rsidR="009C3BD5" w:rsidRPr="009C3BD5" w:rsidRDefault="009C3BD5" w:rsidP="009C3BD5">
      <w:pPr>
        <w:shd w:val="clear" w:color="auto" w:fill="FFFFFF"/>
        <w:spacing w:after="100" w:afterAutospacing="1" w:line="240" w:lineRule="auto"/>
        <w:jc w:val="both"/>
        <w:rPr>
          <w:rFonts w:eastAsia="Times New Roman" w:cs="Times New Roman"/>
          <w:szCs w:val="20"/>
          <w:lang w:eastAsia="it-IT"/>
        </w:rPr>
      </w:pPr>
      <w:r w:rsidRPr="009C3BD5">
        <w:rPr>
          <w:rFonts w:eastAsia="Times New Roman" w:cs="Times New Roman"/>
          <w:szCs w:val="20"/>
          <w:lang w:eastAsia="it-IT"/>
        </w:rPr>
        <w:t>Segnalazioni non provenienti da docenti, personale ATA, dirigenti scolastici o comunque pubblici dipendenti.</w:t>
      </w:r>
    </w:p>
    <w:p w14:paraId="12D7CB68" w14:textId="77777777" w:rsidR="009C3BD5" w:rsidRPr="009C3BD5" w:rsidRDefault="009C3BD5" w:rsidP="009C3BD5">
      <w:pPr>
        <w:shd w:val="clear" w:color="auto" w:fill="FFFFFF"/>
        <w:spacing w:after="100" w:afterAutospacing="1" w:line="240" w:lineRule="auto"/>
        <w:jc w:val="both"/>
        <w:rPr>
          <w:rFonts w:eastAsia="Times New Roman" w:cs="Times New Roman"/>
          <w:szCs w:val="20"/>
          <w:lang w:eastAsia="it-IT"/>
        </w:rPr>
      </w:pPr>
      <w:r w:rsidRPr="009C3BD5">
        <w:rPr>
          <w:rFonts w:eastAsia="Times New Roman" w:cs="Times New Roman"/>
          <w:szCs w:val="20"/>
          <w:lang w:eastAsia="it-IT"/>
        </w:rPr>
        <w:t>Segnalazioni generiche e poco circostanziate.</w:t>
      </w:r>
    </w:p>
    <w:p w14:paraId="7BA30362" w14:textId="77777777" w:rsidR="009C3BD5" w:rsidRPr="009C3BD5" w:rsidRDefault="009C3BD5" w:rsidP="009C3BD5">
      <w:pPr>
        <w:shd w:val="clear" w:color="auto" w:fill="FFFFFF"/>
        <w:spacing w:after="100" w:afterAutospacing="1" w:line="240" w:lineRule="auto"/>
        <w:jc w:val="both"/>
        <w:rPr>
          <w:rFonts w:eastAsia="Times New Roman" w:cs="Times New Roman"/>
          <w:szCs w:val="20"/>
          <w:lang w:eastAsia="it-IT"/>
        </w:rPr>
      </w:pPr>
      <w:r w:rsidRPr="009C3BD5">
        <w:rPr>
          <w:rFonts w:eastAsia="Times New Roman" w:cs="Times New Roman"/>
          <w:szCs w:val="20"/>
          <w:lang w:eastAsia="it-IT"/>
        </w:rPr>
        <w:t>Segnalazioni di fatti ed episodi che non abbiamo a che fare con la corruzione.</w:t>
      </w:r>
    </w:p>
    <w:p w14:paraId="37C5C60E" w14:textId="77777777" w:rsidR="009C3BD5" w:rsidRPr="009C3BD5" w:rsidRDefault="009C3BD5" w:rsidP="009C3BD5">
      <w:pPr>
        <w:spacing w:after="100" w:afterAutospacing="1" w:line="240" w:lineRule="auto"/>
        <w:rPr>
          <w:rFonts w:eastAsia="Times New Roman" w:cs="Times New Roman"/>
          <w:color w:val="auto"/>
          <w:szCs w:val="20"/>
          <w:lang w:eastAsia="it-IT"/>
        </w:rPr>
      </w:pPr>
      <w:hyperlink r:id="rId12" w:history="1">
        <w:r w:rsidRPr="009C3BD5">
          <w:rPr>
            <w:rFonts w:eastAsia="Times New Roman" w:cs="Times New Roman"/>
            <w:color w:val="0066CC"/>
            <w:szCs w:val="20"/>
            <w:u w:val="single"/>
            <w:lang w:eastAsia="it-IT"/>
          </w:rPr>
          <w:t xml:space="preserve">Comunicato del Presidente ANAC del </w:t>
        </w:r>
        <w:proofErr w:type="gramStart"/>
        <w:r w:rsidRPr="009C3BD5">
          <w:rPr>
            <w:rFonts w:eastAsia="Times New Roman" w:cs="Times New Roman"/>
            <w:color w:val="0066CC"/>
            <w:szCs w:val="20"/>
            <w:u w:val="single"/>
            <w:lang w:eastAsia="it-IT"/>
          </w:rPr>
          <w:t>6  febbraio</w:t>
        </w:r>
        <w:proofErr w:type="gramEnd"/>
        <w:r w:rsidRPr="009C3BD5">
          <w:rPr>
            <w:rFonts w:eastAsia="Times New Roman" w:cs="Times New Roman"/>
            <w:color w:val="0066CC"/>
            <w:szCs w:val="20"/>
            <w:u w:val="single"/>
            <w:lang w:eastAsia="it-IT"/>
          </w:rPr>
          <w:t xml:space="preserve"> 2018</w:t>
        </w:r>
      </w:hyperlink>
      <w:r w:rsidRPr="009C3BD5">
        <w:rPr>
          <w:rFonts w:eastAsia="Times New Roman" w:cs="Times New Roman"/>
          <w:color w:val="auto"/>
          <w:szCs w:val="20"/>
          <w:lang w:eastAsia="it-IT"/>
        </w:rPr>
        <w:t>: Segnalazioni  di illeciti presentate dal dipendente pubblico (c.d. </w:t>
      </w:r>
      <w:r w:rsidRPr="009C3BD5">
        <w:rPr>
          <w:rFonts w:eastAsia="Times New Roman" w:cs="Times New Roman"/>
          <w:i/>
          <w:iCs/>
          <w:color w:val="auto"/>
          <w:szCs w:val="20"/>
          <w:lang w:eastAsia="it-IT"/>
        </w:rPr>
        <w:t>Whistleblower</w:t>
      </w:r>
      <w:r w:rsidRPr="009C3BD5">
        <w:rPr>
          <w:rFonts w:eastAsia="Times New Roman" w:cs="Times New Roman"/>
          <w:color w:val="auto"/>
          <w:szCs w:val="20"/>
          <w:lang w:eastAsia="it-IT"/>
        </w:rPr>
        <w:t>)</w:t>
      </w:r>
    </w:p>
    <w:p w14:paraId="394BDFE0" w14:textId="77777777" w:rsidR="009C3BD5" w:rsidRPr="009C3BD5" w:rsidRDefault="009C3BD5" w:rsidP="009C3BD5">
      <w:pPr>
        <w:numPr>
          <w:ilvl w:val="0"/>
          <w:numId w:val="2"/>
        </w:numPr>
        <w:spacing w:before="100" w:beforeAutospacing="1" w:after="100" w:afterAutospacing="1" w:line="240" w:lineRule="auto"/>
        <w:rPr>
          <w:rFonts w:eastAsia="Times New Roman" w:cs="Times New Roman"/>
          <w:color w:val="auto"/>
          <w:szCs w:val="20"/>
          <w:lang w:eastAsia="it-IT"/>
        </w:rPr>
      </w:pPr>
      <w:r w:rsidRPr="009C3BD5">
        <w:rPr>
          <w:rFonts w:eastAsia="Times New Roman" w:cs="Times New Roman"/>
          <w:b/>
          <w:bCs/>
          <w:color w:val="auto"/>
          <w:szCs w:val="20"/>
          <w:lang w:eastAsia="it-IT"/>
        </w:rPr>
        <w:t>Link di accesso al</w:t>
      </w:r>
      <w:r w:rsidRPr="009C3BD5">
        <w:rPr>
          <w:rFonts w:eastAsia="Times New Roman" w:cs="Times New Roman"/>
          <w:color w:val="auto"/>
          <w:szCs w:val="20"/>
          <w:lang w:eastAsia="it-IT"/>
        </w:rPr>
        <w:t> </w:t>
      </w:r>
      <w:hyperlink r:id="rId13" w:anchor="/" w:history="1">
        <w:r w:rsidRPr="009C3BD5">
          <w:rPr>
            <w:rFonts w:eastAsia="Times New Roman" w:cs="Times New Roman"/>
            <w:color w:val="0066CC"/>
            <w:szCs w:val="20"/>
            <w:u w:val="single"/>
            <w:lang w:eastAsia="it-IT"/>
          </w:rPr>
          <w:t xml:space="preserve">Portale ANAC Segnalazione di condotte illecite – </w:t>
        </w:r>
        <w:proofErr w:type="spellStart"/>
        <w:r w:rsidRPr="009C3BD5">
          <w:rPr>
            <w:rFonts w:eastAsia="Times New Roman" w:cs="Times New Roman"/>
            <w:color w:val="0066CC"/>
            <w:szCs w:val="20"/>
            <w:u w:val="single"/>
            <w:lang w:eastAsia="it-IT"/>
          </w:rPr>
          <w:t>Whisteblowing</w:t>
        </w:r>
        <w:proofErr w:type="spellEnd"/>
      </w:hyperlink>
    </w:p>
    <w:p w14:paraId="2ED87795" w14:textId="77777777" w:rsidR="009C3BD5" w:rsidRPr="009C3BD5" w:rsidRDefault="009C3BD5" w:rsidP="009C3BD5">
      <w:pPr>
        <w:numPr>
          <w:ilvl w:val="1"/>
          <w:numId w:val="2"/>
        </w:numPr>
        <w:spacing w:before="100" w:beforeAutospacing="1" w:after="100" w:afterAutospacing="1" w:line="240" w:lineRule="auto"/>
        <w:rPr>
          <w:rFonts w:eastAsia="Times New Roman" w:cs="Times New Roman"/>
          <w:color w:val="auto"/>
          <w:szCs w:val="20"/>
          <w:lang w:eastAsia="it-IT"/>
        </w:rPr>
      </w:pPr>
      <w:r w:rsidRPr="009C3BD5">
        <w:rPr>
          <w:rFonts w:eastAsia="Times New Roman" w:cs="Times New Roman"/>
          <w:b/>
          <w:bCs/>
          <w:color w:val="auto"/>
          <w:szCs w:val="20"/>
          <w:lang w:eastAsia="it-IT"/>
        </w:rPr>
        <w:t>(attivo dal 8 febbraio 2018)</w:t>
      </w:r>
    </w:p>
    <w:p w14:paraId="4170557D" w14:textId="77777777" w:rsidR="009C3BD5" w:rsidRPr="009C3BD5" w:rsidRDefault="009C3BD5" w:rsidP="009C3BD5">
      <w:pPr>
        <w:spacing w:after="100" w:afterAutospacing="1" w:line="240" w:lineRule="auto"/>
        <w:jc w:val="both"/>
        <w:rPr>
          <w:rFonts w:eastAsia="Times New Roman" w:cs="Times New Roman"/>
          <w:color w:val="auto"/>
          <w:szCs w:val="20"/>
          <w:lang w:eastAsia="it-IT"/>
        </w:rPr>
      </w:pPr>
      <w:r w:rsidRPr="009C3BD5">
        <w:rPr>
          <w:rFonts w:eastAsia="Times New Roman" w:cs="Times New Roman"/>
          <w:color w:val="auto"/>
          <w:szCs w:val="20"/>
          <w:lang w:eastAsia="it-IT"/>
        </w:rPr>
        <w:t>Il sistema dell’ANAC per la segnalazione di condotte illecite è indirizzato al </w:t>
      </w:r>
      <w:r w:rsidRPr="009C3BD5">
        <w:rPr>
          <w:rFonts w:eastAsia="Times New Roman" w:cs="Times New Roman"/>
          <w:i/>
          <w:iCs/>
          <w:color w:val="auto"/>
          <w:szCs w:val="20"/>
          <w:lang w:eastAsia="it-IT"/>
        </w:rPr>
        <w:t>whistleblower</w:t>
      </w:r>
      <w:r w:rsidRPr="009C3BD5">
        <w:rPr>
          <w:rFonts w:eastAsia="Times New Roman" w:cs="Times New Roman"/>
          <w:color w:val="auto"/>
          <w:szCs w:val="20"/>
          <w:lang w:eastAsia="it-IT"/>
        </w:rPr>
        <w:t>, inteso come dipendente pubblico che intende segnalare illeciti di interesse generale e non di interesse individuale, di cui sia venuto a conoscenza in ragione del rapporto di lavoro, in base a quanto previsto dall’art. 54 bis del </w:t>
      </w:r>
      <w:hyperlink r:id="rId14" w:history="1">
        <w:r w:rsidRPr="009C3BD5">
          <w:rPr>
            <w:rFonts w:eastAsia="Times New Roman" w:cs="Times New Roman"/>
            <w:color w:val="0066CC"/>
            <w:szCs w:val="20"/>
            <w:u w:val="single"/>
            <w:lang w:eastAsia="it-IT"/>
          </w:rPr>
          <w:t>Decreto Legislativo 30 marzo 2001 n. 165</w:t>
        </w:r>
      </w:hyperlink>
      <w:r w:rsidRPr="009C3BD5">
        <w:rPr>
          <w:rFonts w:eastAsia="Times New Roman" w:cs="Times New Roman"/>
          <w:color w:val="auto"/>
          <w:szCs w:val="20"/>
          <w:lang w:eastAsia="it-IT"/>
        </w:rPr>
        <w:t> così come modificato dalla </w:t>
      </w:r>
      <w:hyperlink r:id="rId15" w:history="1">
        <w:r w:rsidRPr="009C3BD5">
          <w:rPr>
            <w:rFonts w:eastAsia="Times New Roman" w:cs="Times New Roman"/>
            <w:color w:val="0066CC"/>
            <w:szCs w:val="20"/>
            <w:u w:val="single"/>
            <w:lang w:eastAsia="it-IT"/>
          </w:rPr>
          <w:t>Legge 30 novembre 2017, n. 179</w:t>
        </w:r>
      </w:hyperlink>
      <w:r w:rsidRPr="009C3BD5">
        <w:rPr>
          <w:rFonts w:eastAsia="Times New Roman" w:cs="Times New Roman"/>
          <w:color w:val="auto"/>
          <w:szCs w:val="20"/>
          <w:lang w:eastAsia="it-IT"/>
        </w:rPr>
        <w:t>.</w:t>
      </w:r>
    </w:p>
    <w:p w14:paraId="0D8C6565" w14:textId="77777777" w:rsidR="009C3BD5" w:rsidRPr="009C3BD5" w:rsidRDefault="009C3BD5" w:rsidP="009C3BD5">
      <w:pPr>
        <w:spacing w:after="100" w:afterAutospacing="1" w:line="240" w:lineRule="auto"/>
        <w:jc w:val="both"/>
        <w:rPr>
          <w:rFonts w:eastAsia="Times New Roman" w:cs="Times New Roman"/>
          <w:color w:val="auto"/>
          <w:szCs w:val="20"/>
          <w:lang w:eastAsia="it-IT"/>
        </w:rPr>
      </w:pPr>
      <w:r w:rsidRPr="009C3BD5">
        <w:rPr>
          <w:rFonts w:eastAsia="Times New Roman" w:cs="Times New Roman"/>
          <w:color w:val="auto"/>
          <w:szCs w:val="20"/>
          <w:lang w:eastAsia="it-IT"/>
        </w:rPr>
        <w:t>Ti ricordiamo che ai fini della disciplina del </w:t>
      </w:r>
      <w:r w:rsidRPr="009C3BD5">
        <w:rPr>
          <w:rFonts w:eastAsia="Times New Roman" w:cs="Times New Roman"/>
          <w:i/>
          <w:iCs/>
          <w:color w:val="auto"/>
          <w:szCs w:val="20"/>
          <w:lang w:eastAsia="it-IT"/>
        </w:rPr>
        <w:t>whistleblowing</w:t>
      </w:r>
      <w:r w:rsidRPr="009C3BD5">
        <w:rPr>
          <w:rFonts w:eastAsia="Times New Roman" w:cs="Times New Roman"/>
          <w:color w:val="auto"/>
          <w:szCs w:val="20"/>
          <w:lang w:eastAsia="it-IT"/>
        </w:rPr>
        <w:t>, per “dipendente pubblico” si intende il dipendente delle amministrazioni pubbliche di cui all’articolo 1, comma 2, del d.lgs. n. 165/2001, ivi compreso il dipendente di cui all’articolo 3, il dipendente di un ente pubblico economico ovvero il dipendente di un ente di diritto privato sottoposto a controllo pubblico ai sensi dell’art. 2359 del codice civile.</w:t>
      </w:r>
    </w:p>
    <w:p w14:paraId="5E1A8405" w14:textId="77777777" w:rsidR="009C3BD5" w:rsidRPr="009C3BD5" w:rsidRDefault="009C3BD5" w:rsidP="009C3BD5">
      <w:pPr>
        <w:spacing w:after="100" w:afterAutospacing="1" w:line="240" w:lineRule="auto"/>
        <w:jc w:val="both"/>
        <w:rPr>
          <w:rFonts w:eastAsia="Times New Roman" w:cs="Times New Roman"/>
          <w:color w:val="auto"/>
          <w:szCs w:val="20"/>
          <w:lang w:eastAsia="it-IT"/>
        </w:rPr>
      </w:pPr>
      <w:r w:rsidRPr="009C3BD5">
        <w:rPr>
          <w:rFonts w:eastAsia="Times New Roman" w:cs="Times New Roman"/>
          <w:color w:val="auto"/>
          <w:szCs w:val="20"/>
          <w:lang w:eastAsia="it-IT"/>
        </w:rPr>
        <w:lastRenderedPageBreak/>
        <w:t>Ti ricordiamo inoltre che la disciplina del </w:t>
      </w:r>
      <w:r w:rsidRPr="009C3BD5">
        <w:rPr>
          <w:rFonts w:eastAsia="Times New Roman" w:cs="Times New Roman"/>
          <w:i/>
          <w:iCs/>
          <w:color w:val="auto"/>
          <w:szCs w:val="20"/>
          <w:lang w:eastAsia="it-IT"/>
        </w:rPr>
        <w:t>whistleblowing</w:t>
      </w:r>
      <w:r w:rsidRPr="009C3BD5">
        <w:rPr>
          <w:rFonts w:eastAsia="Times New Roman" w:cs="Times New Roman"/>
          <w:color w:val="auto"/>
          <w:szCs w:val="20"/>
          <w:lang w:eastAsia="it-IT"/>
        </w:rPr>
        <w:t> si applica anche ai lavoratori e ai collaboratori delle imprese fornitrici di beni o servizi e che realizzano opere in favore dell’amministrazione pubblica.</w:t>
      </w:r>
    </w:p>
    <w:p w14:paraId="3A4793BA" w14:textId="77777777" w:rsidR="009C3BD5" w:rsidRPr="009C3BD5" w:rsidRDefault="009C3BD5" w:rsidP="009C3BD5">
      <w:pPr>
        <w:spacing w:after="100" w:afterAutospacing="1" w:line="240" w:lineRule="auto"/>
        <w:jc w:val="both"/>
        <w:rPr>
          <w:rFonts w:eastAsia="Times New Roman" w:cs="Times New Roman"/>
          <w:color w:val="auto"/>
          <w:szCs w:val="20"/>
          <w:lang w:eastAsia="it-IT"/>
        </w:rPr>
      </w:pPr>
      <w:r w:rsidRPr="009C3BD5">
        <w:rPr>
          <w:rFonts w:eastAsia="Times New Roman" w:cs="Times New Roman"/>
          <w:b/>
          <w:bCs/>
          <w:color w:val="auto"/>
          <w:szCs w:val="20"/>
          <w:lang w:eastAsia="it-IT"/>
        </w:rPr>
        <w:t>Registrando la tua segnalazione su questo portale, otterrai un codice identificativo univoco, “key code”</w:t>
      </w:r>
      <w:r w:rsidRPr="009C3BD5">
        <w:rPr>
          <w:rFonts w:eastAsia="Times New Roman" w:cs="Times New Roman"/>
          <w:color w:val="auto"/>
          <w:szCs w:val="20"/>
          <w:lang w:eastAsia="it-IT"/>
        </w:rPr>
        <w:t>, che dovrai utilizzare per “dialogare” con ANAC in modo spersonalizzato e per essere costantemente informato sullo stato di lavorazione della segnalazione inviata.</w:t>
      </w:r>
    </w:p>
    <w:p w14:paraId="66FB0D3A" w14:textId="77777777" w:rsidR="009C3BD5" w:rsidRPr="009C3BD5" w:rsidRDefault="009C3BD5" w:rsidP="009C3BD5">
      <w:pPr>
        <w:spacing w:after="100" w:afterAutospacing="1" w:line="240" w:lineRule="auto"/>
        <w:jc w:val="both"/>
        <w:rPr>
          <w:rFonts w:eastAsia="Times New Roman" w:cs="Times New Roman"/>
          <w:color w:val="auto"/>
          <w:szCs w:val="20"/>
          <w:lang w:eastAsia="it-IT"/>
        </w:rPr>
      </w:pPr>
      <w:r w:rsidRPr="009C3BD5">
        <w:rPr>
          <w:rFonts w:eastAsia="Times New Roman" w:cs="Times New Roman"/>
          <w:b/>
          <w:bCs/>
          <w:color w:val="auto"/>
          <w:szCs w:val="20"/>
          <w:lang w:eastAsia="it-IT"/>
        </w:rPr>
        <w:t>Ricordati di conservare con cura il codice identificativo univoco della segnalazione, in quanto, in caso di smarrimento, lo stesso non potrà essere recuperato o duplicato in alcun modo.</w:t>
      </w:r>
    </w:p>
    <w:p w14:paraId="48374EEC" w14:textId="77777777" w:rsidR="009C3BD5" w:rsidRPr="009C3BD5" w:rsidRDefault="009C3BD5" w:rsidP="009C3BD5">
      <w:pPr>
        <w:spacing w:after="100" w:afterAutospacing="1" w:line="240" w:lineRule="auto"/>
        <w:rPr>
          <w:rFonts w:eastAsia="Times New Roman" w:cs="Times New Roman"/>
          <w:color w:val="auto"/>
          <w:szCs w:val="20"/>
          <w:lang w:eastAsia="it-IT"/>
        </w:rPr>
      </w:pPr>
      <w:r w:rsidRPr="009C3BD5">
        <w:rPr>
          <w:rFonts w:eastAsia="Times New Roman" w:cs="Times New Roman"/>
          <w:color w:val="auto"/>
          <w:szCs w:val="20"/>
          <w:lang w:eastAsia="it-IT"/>
        </w:rPr>
        <w:t> </w:t>
      </w:r>
    </w:p>
    <w:p w14:paraId="0CDBA04F" w14:textId="77777777" w:rsidR="009C3BD5" w:rsidRPr="009C3BD5" w:rsidRDefault="009C3BD5" w:rsidP="009C3BD5">
      <w:pPr>
        <w:spacing w:after="100" w:afterAutospacing="1" w:line="240" w:lineRule="auto"/>
        <w:rPr>
          <w:rFonts w:eastAsia="Times New Roman" w:cs="Times New Roman"/>
          <w:color w:val="auto"/>
          <w:szCs w:val="20"/>
          <w:lang w:eastAsia="it-IT"/>
        </w:rPr>
      </w:pPr>
      <w:hyperlink r:id="rId16" w:history="1">
        <w:r w:rsidRPr="009C3BD5">
          <w:rPr>
            <w:rFonts w:eastAsia="Times New Roman" w:cs="Times New Roman"/>
            <w:color w:val="0066CC"/>
            <w:szCs w:val="20"/>
            <w:u w:val="single"/>
            <w:lang w:eastAsia="it-IT"/>
          </w:rPr>
          <w:t>Determinazione n. 6 del 28 aprile 2015</w:t>
        </w:r>
      </w:hyperlink>
      <w:r w:rsidRPr="009C3BD5">
        <w:rPr>
          <w:rFonts w:eastAsia="Times New Roman" w:cs="Times New Roman"/>
          <w:color w:val="auto"/>
          <w:szCs w:val="20"/>
          <w:lang w:eastAsia="it-IT"/>
        </w:rPr>
        <w:t xml:space="preserve">: “Linee guida in materia di tutela del dipendente pubblico che </w:t>
      </w:r>
      <w:proofErr w:type="gramStart"/>
      <w:r w:rsidRPr="009C3BD5">
        <w:rPr>
          <w:rFonts w:eastAsia="Times New Roman" w:cs="Times New Roman"/>
          <w:color w:val="auto"/>
          <w:szCs w:val="20"/>
          <w:lang w:eastAsia="it-IT"/>
        </w:rPr>
        <w:t>segnala  illeciti</w:t>
      </w:r>
      <w:proofErr w:type="gramEnd"/>
      <w:r w:rsidRPr="009C3BD5">
        <w:rPr>
          <w:rFonts w:eastAsia="Times New Roman" w:cs="Times New Roman"/>
          <w:color w:val="auto"/>
          <w:szCs w:val="20"/>
          <w:lang w:eastAsia="it-IT"/>
        </w:rPr>
        <w:t xml:space="preserve"> (c.d. </w:t>
      </w:r>
      <w:r w:rsidRPr="009C3BD5">
        <w:rPr>
          <w:rFonts w:eastAsia="Times New Roman" w:cs="Times New Roman"/>
          <w:i/>
          <w:iCs/>
          <w:color w:val="auto"/>
          <w:szCs w:val="20"/>
          <w:lang w:eastAsia="it-IT"/>
        </w:rPr>
        <w:t>whistleblower</w:t>
      </w:r>
      <w:r w:rsidRPr="009C3BD5">
        <w:rPr>
          <w:rFonts w:eastAsia="Times New Roman" w:cs="Times New Roman"/>
          <w:color w:val="auto"/>
          <w:szCs w:val="20"/>
          <w:lang w:eastAsia="it-IT"/>
        </w:rPr>
        <w:t>)” (pubblicata nella Gazzetta Ufficiale serie generale n. 110 del 14 maggio 2015)</w:t>
      </w:r>
    </w:p>
    <w:p w14:paraId="60A1B1BE" w14:textId="77777777" w:rsidR="001A7AF0" w:rsidRPr="00CB017E" w:rsidRDefault="001A7AF0">
      <w:pPr>
        <w:rPr>
          <w:szCs w:val="20"/>
        </w:rPr>
      </w:pPr>
    </w:p>
    <w:sectPr w:rsidR="001A7AF0" w:rsidRPr="00CB017E" w:rsidSect="001A7A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5A2"/>
    <w:multiLevelType w:val="multilevel"/>
    <w:tmpl w:val="C48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763BD"/>
    <w:multiLevelType w:val="multilevel"/>
    <w:tmpl w:val="19006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4851">
    <w:abstractNumId w:val="0"/>
  </w:num>
  <w:num w:numId="2" w16cid:durableId="1344866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D5"/>
    <w:rsid w:val="001A7AF0"/>
    <w:rsid w:val="00445639"/>
    <w:rsid w:val="009C3BD5"/>
    <w:rsid w:val="009E116F"/>
    <w:rsid w:val="00AD72EB"/>
    <w:rsid w:val="00CB017E"/>
    <w:rsid w:val="00D440F2"/>
    <w:rsid w:val="00E65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5AF6"/>
  <w15:chartTrackingRefBased/>
  <w15:docId w15:val="{2F34C7F6-7D5F-4473-A093-C9E5D66C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2222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7AF0"/>
  </w:style>
  <w:style w:type="paragraph" w:styleId="Titolo1">
    <w:name w:val="heading 1"/>
    <w:basedOn w:val="Normale"/>
    <w:link w:val="Titolo1Carattere"/>
    <w:uiPriority w:val="9"/>
    <w:qFormat/>
    <w:rsid w:val="009C3BD5"/>
    <w:pPr>
      <w:spacing w:before="100" w:beforeAutospacing="1" w:after="100" w:afterAutospacing="1" w:line="240" w:lineRule="auto"/>
      <w:outlineLvl w:val="0"/>
    </w:pPr>
    <w:rPr>
      <w:rFonts w:eastAsia="Times New Roman" w:cs="Times New Roman"/>
      <w:b/>
      <w:bCs/>
      <w:color w:val="auto"/>
      <w:kern w:val="36"/>
      <w:sz w:val="48"/>
      <w:szCs w:val="48"/>
      <w:lang w:eastAsia="it-IT"/>
    </w:rPr>
  </w:style>
  <w:style w:type="paragraph" w:styleId="Titolo3">
    <w:name w:val="heading 3"/>
    <w:basedOn w:val="Normale"/>
    <w:link w:val="Titolo3Carattere"/>
    <w:uiPriority w:val="9"/>
    <w:qFormat/>
    <w:rsid w:val="009C3BD5"/>
    <w:pPr>
      <w:spacing w:before="100" w:beforeAutospacing="1" w:after="100" w:afterAutospacing="1" w:line="240" w:lineRule="auto"/>
      <w:outlineLvl w:val="2"/>
    </w:pPr>
    <w:rPr>
      <w:rFonts w:eastAsia="Times New Roman" w:cs="Times New Roman"/>
      <w:b/>
      <w:bCs/>
      <w:color w:val="auto"/>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3BD5"/>
    <w:rPr>
      <w:rFonts w:eastAsia="Times New Roman" w:cs="Times New Roman"/>
      <w:b/>
      <w:bCs/>
      <w:color w:val="auto"/>
      <w:kern w:val="36"/>
      <w:sz w:val="48"/>
      <w:szCs w:val="48"/>
      <w:lang w:eastAsia="it-IT"/>
    </w:rPr>
  </w:style>
  <w:style w:type="character" w:customStyle="1" w:styleId="Titolo3Carattere">
    <w:name w:val="Titolo 3 Carattere"/>
    <w:basedOn w:val="Carpredefinitoparagrafo"/>
    <w:link w:val="Titolo3"/>
    <w:uiPriority w:val="9"/>
    <w:rsid w:val="009C3BD5"/>
    <w:rPr>
      <w:rFonts w:eastAsia="Times New Roman" w:cs="Times New Roman"/>
      <w:b/>
      <w:bCs/>
      <w:color w:val="auto"/>
      <w:sz w:val="27"/>
      <w:szCs w:val="27"/>
      <w:lang w:eastAsia="it-IT"/>
    </w:rPr>
  </w:style>
  <w:style w:type="paragraph" w:styleId="NormaleWeb">
    <w:name w:val="Normal (Web)"/>
    <w:basedOn w:val="Normale"/>
    <w:uiPriority w:val="99"/>
    <w:semiHidden/>
    <w:unhideWhenUsed/>
    <w:rsid w:val="009C3BD5"/>
    <w:pPr>
      <w:spacing w:before="100" w:beforeAutospacing="1" w:after="100" w:afterAutospacing="1" w:line="240" w:lineRule="auto"/>
    </w:pPr>
    <w:rPr>
      <w:rFonts w:eastAsia="Times New Roman" w:cs="Times New Roman"/>
      <w:color w:val="auto"/>
      <w:sz w:val="24"/>
      <w:szCs w:val="24"/>
      <w:lang w:eastAsia="it-IT"/>
    </w:rPr>
  </w:style>
  <w:style w:type="character" w:styleId="Enfasigrassetto">
    <w:name w:val="Strong"/>
    <w:basedOn w:val="Carpredefinitoparagrafo"/>
    <w:uiPriority w:val="22"/>
    <w:qFormat/>
    <w:rsid w:val="009C3BD5"/>
    <w:rPr>
      <w:b/>
      <w:bCs/>
    </w:rPr>
  </w:style>
  <w:style w:type="character" w:styleId="Collegamentoipertestuale">
    <w:name w:val="Hyperlink"/>
    <w:basedOn w:val="Carpredefinitoparagrafo"/>
    <w:uiPriority w:val="99"/>
    <w:unhideWhenUsed/>
    <w:rsid w:val="009C3BD5"/>
    <w:rPr>
      <w:color w:val="0000FF"/>
      <w:u w:val="single"/>
    </w:rPr>
  </w:style>
  <w:style w:type="character" w:styleId="Enfasicorsivo">
    <w:name w:val="Emphasis"/>
    <w:basedOn w:val="Carpredefinitoparagrafo"/>
    <w:uiPriority w:val="20"/>
    <w:qFormat/>
    <w:rsid w:val="009C3BD5"/>
    <w:rPr>
      <w:i/>
      <w:iCs/>
    </w:rPr>
  </w:style>
  <w:style w:type="character" w:styleId="Menzionenonrisolta">
    <w:name w:val="Unresolved Mention"/>
    <w:basedOn w:val="Carpredefinitoparagrafo"/>
    <w:uiPriority w:val="99"/>
    <w:semiHidden/>
    <w:unhideWhenUsed/>
    <w:rsid w:val="009C3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819511">
      <w:bodyDiv w:val="1"/>
      <w:marLeft w:val="0"/>
      <w:marRight w:val="0"/>
      <w:marTop w:val="0"/>
      <w:marBottom w:val="0"/>
      <w:divBdr>
        <w:top w:val="none" w:sz="0" w:space="0" w:color="auto"/>
        <w:left w:val="none" w:sz="0" w:space="0" w:color="auto"/>
        <w:bottom w:val="none" w:sz="0" w:space="0" w:color="auto"/>
        <w:right w:val="none" w:sz="0" w:space="0" w:color="auto"/>
      </w:divBdr>
      <w:divsChild>
        <w:div w:id="589658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corruzione.it/portal/public/classic/AttivitaAutorita/AttiDellAutorita/_Atto?ca=6550" TargetMode="External"/><Relationship Id="rId13" Type="http://schemas.openxmlformats.org/officeDocument/2006/relationships/hyperlink" Target="https://servizi.anticorruzione.it/segnalazio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egione.toscana.it/-/piano-triennale-per-la-prevenzione-della-corruzione-e-della-trasparenza" TargetMode="External"/><Relationship Id="rId12" Type="http://schemas.openxmlformats.org/officeDocument/2006/relationships/hyperlink" Target="http://www.anticorruzione.it/portal/public/classic/AttivitaAutorita/AttiDellAutorita/_Atto?ca=71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nticorruzione.it/portal/public/classic/AttivitaAutorita/AttiDellAutorita/_Atto?ca=6123" TargetMode="External"/><Relationship Id="rId1" Type="http://schemas.openxmlformats.org/officeDocument/2006/relationships/customXml" Target="../customXml/item1.xml"/><Relationship Id="rId6" Type="http://schemas.openxmlformats.org/officeDocument/2006/relationships/hyperlink" Target="http://www.normattiva.it/uri-res/N2Ls?urn:nir:stato:decreto.legislativo:2001-03-30;165!vig=2018-04-19" TargetMode="External"/><Relationship Id="rId11" Type="http://schemas.openxmlformats.org/officeDocument/2006/relationships/hyperlink" Target="mailto:drlo.prevenzionecorruzione@istruzione.it" TargetMode="External"/><Relationship Id="rId5" Type="http://schemas.openxmlformats.org/officeDocument/2006/relationships/webSettings" Target="webSettings.xml"/><Relationship Id="rId15" Type="http://schemas.openxmlformats.org/officeDocument/2006/relationships/hyperlink" Target="http://www.normattiva.it/uri-res/N2Ls?urn:nir:stato:legge:2017-11-30;179!vig=" TargetMode="External"/><Relationship Id="rId10" Type="http://schemas.openxmlformats.org/officeDocument/2006/relationships/hyperlink" Target="https://www.icdonadonisarnico.edu.it/wp-content/uploads/2018/04/MODULO_WHISTLEBLOWER.pdf" TargetMode="External"/><Relationship Id="rId4" Type="http://schemas.openxmlformats.org/officeDocument/2006/relationships/settings" Target="settings.xml"/><Relationship Id="rId9" Type="http://schemas.openxmlformats.org/officeDocument/2006/relationships/hyperlink" Target="https://www.icdonadonisarnico.edu.it/wp-content/uploads/2018/04/MODULO_WHISTLEBLOWER.docx" TargetMode="External"/><Relationship Id="rId14" Type="http://schemas.openxmlformats.org/officeDocument/2006/relationships/hyperlink" Target="http://www.normattiva.it/uri-res/N2Ls?urn:nir:stato:decreto.legislativo:2001-03-30;165!vig=2018-04-1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DD986-DD59-442F-B00F-BF1F802C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ANCHISE PICCHI</dc:creator>
  <cp:keywords/>
  <dc:description/>
  <cp:lastModifiedBy>A.A</cp:lastModifiedBy>
  <cp:revision>2</cp:revision>
  <dcterms:created xsi:type="dcterms:W3CDTF">2025-02-06T10:28:00Z</dcterms:created>
  <dcterms:modified xsi:type="dcterms:W3CDTF">2025-02-06T10:28:00Z</dcterms:modified>
</cp:coreProperties>
</file>